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lang w:val="en-US"/>
        </w:rPr>
        <w:t>Contoh c</w:t>
      </w:r>
      <w:r>
        <w:rPr>
          <w:rFonts w:hint="default" w:ascii="Times New Roman" w:hAnsi="Times New Roman" w:cs="Times New Roman"/>
          <w:b/>
          <w:sz w:val="24"/>
          <w:szCs w:val="24"/>
        </w:rPr>
        <w:t>ara menulis For Call Papers;</w:t>
      </w:r>
    </w:p>
    <w:p>
      <w:pPr>
        <w:pStyle w:val="6"/>
        <w:spacing w:after="0" w:line="240" w:lineRule="auto"/>
        <w:ind w:left="0"/>
        <w:jc w:val="both"/>
        <w:rPr>
          <w:rFonts w:hint="default" w:ascii="Times New Roman" w:hAnsi="Times New Roman" w:cs="Times New Roman"/>
          <w:b/>
          <w:sz w:val="24"/>
          <w:szCs w:val="24"/>
        </w:rPr>
      </w:pP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Setiap rujukan yang dijadikan basis analisa hendaklah kutipan langsung, lalu dikaji menurut cara pandang yang dianut penulis. </w:t>
      </w: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Kajian atas pandang Filsuf Muslim atau tokoh Muhammadiyah difokuskan pada padangan tentang manusia, ilmu, kurikulum, guru dan kegiatan belajar-mengajar. </w:t>
      </w:r>
    </w:p>
    <w:p>
      <w:pPr>
        <w:pStyle w:val="6"/>
        <w:spacing w:after="0" w:line="240" w:lineRule="auto"/>
        <w:ind w:left="0"/>
        <w:jc w:val="both"/>
        <w:rPr>
          <w:rFonts w:hint="default" w:ascii="Times New Roman" w:hAnsi="Times New Roman" w:cs="Times New Roman"/>
          <w:sz w:val="24"/>
          <w:szCs w:val="24"/>
        </w:rPr>
      </w:pP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Sekedar contoh berikut dikutipkan Rumusan Filsafat Pendidikan dalam beberapa kepustakaan yang beredar luas di Indonesia.</w:t>
      </w:r>
    </w:p>
    <w:p>
      <w:pPr>
        <w:pStyle w:val="6"/>
        <w:spacing w:after="0" w:line="240" w:lineRule="auto"/>
        <w:ind w:left="0"/>
        <w:jc w:val="both"/>
        <w:rPr>
          <w:rFonts w:hint="default" w:ascii="Times New Roman" w:hAnsi="Times New Roman" w:cs="Times New Roman"/>
          <w:sz w:val="24"/>
          <w:szCs w:val="24"/>
        </w:rPr>
      </w:pP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Pandangan Ibn Sina</w:t>
      </w:r>
      <w:r>
        <w:rPr>
          <w:rStyle w:val="4"/>
          <w:rFonts w:hint="default" w:ascii="Times New Roman" w:hAnsi="Times New Roman" w:cs="Times New Roman"/>
          <w:sz w:val="24"/>
          <w:szCs w:val="24"/>
        </w:rPr>
        <w:footnoteReference w:id="0"/>
      </w:r>
      <w:r>
        <w:rPr>
          <w:rFonts w:hint="default" w:ascii="Times New Roman" w:hAnsi="Times New Roman" w:cs="Times New Roman"/>
          <w:sz w:val="24"/>
          <w:szCs w:val="24"/>
        </w:rPr>
        <w:t xml:space="preserve"> Tentang Kejadian Alam melalui Emanasi</w:t>
      </w:r>
    </w:p>
    <w:p>
      <w:pPr>
        <w:pStyle w:val="6"/>
        <w:spacing w:after="0" w:line="240" w:lineRule="auto"/>
        <w:ind w:left="0"/>
        <w:jc w:val="both"/>
        <w:rPr>
          <w:rFonts w:hint="default" w:ascii="Times New Roman" w:hAnsi="Times New Roman" w:cs="Times New Roman"/>
          <w:sz w:val="24"/>
          <w:szCs w:val="24"/>
        </w:rPr>
      </w:pPr>
    </w:p>
    <w:p>
      <w:pPr>
        <w:numPr>
          <w:ilvl w:val="0"/>
          <w:numId w:val="1"/>
        </w:numPr>
        <w:bidi/>
        <w:spacing w:line="320" w:lineRule="exact"/>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الإبداع هو أَن يكون من الشىء وجود لغيره, متعلق به فقط, دون متوسط من مادة, أَوآلة, أَوزمان. </w:t>
      </w:r>
    </w:p>
    <w:p>
      <w:pPr>
        <w:numPr>
          <w:ilvl w:val="0"/>
          <w:numId w:val="2"/>
        </w:numPr>
        <w:bidi/>
        <w:spacing w:line="320" w:lineRule="exact"/>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وما يتقدمه عدم زمانى, لم يستغن عن متوسط.</w:t>
      </w:r>
    </w:p>
    <w:p>
      <w:pPr>
        <w:numPr>
          <w:ilvl w:val="0"/>
          <w:numId w:val="3"/>
        </w:numPr>
        <w:bidi/>
        <w:spacing w:line="320" w:lineRule="exact"/>
        <w:ind w:left="360"/>
        <w:jc w:val="both"/>
        <w:rPr>
          <w:rFonts w:hint="default" w:ascii="Times New Roman" w:hAnsi="Times New Roman" w:cs="Times New Roman"/>
          <w:b/>
          <w:bCs/>
          <w:sz w:val="24"/>
          <w:szCs w:val="24"/>
        </w:rPr>
      </w:pPr>
      <w:r>
        <w:rPr>
          <w:rFonts w:hint="default" w:ascii="Times New Roman" w:hAnsi="Times New Roman" w:cs="Times New Roman"/>
          <w:b/>
          <w:bCs/>
          <w:sz w:val="24"/>
          <w:szCs w:val="24"/>
        </w:rPr>
        <w:t>والإبداع أعلى مرتبة من التكوين والإحداث.</w:t>
      </w:r>
    </w:p>
    <w:p>
      <w:pPr>
        <w:pStyle w:val="6"/>
        <w:spacing w:after="0" w:line="240" w:lineRule="auto"/>
        <w:ind w:left="0"/>
        <w:jc w:val="both"/>
        <w:rPr>
          <w:rFonts w:hint="default" w:ascii="Times New Roman" w:hAnsi="Times New Roman" w:cs="Times New Roman"/>
          <w:sz w:val="24"/>
          <w:szCs w:val="24"/>
        </w:rPr>
      </w:pPr>
    </w:p>
    <w:p>
      <w:pPr>
        <w:pStyle w:val="6"/>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sz w:val="24"/>
          <w:szCs w:val="24"/>
        </w:rPr>
        <w:t>Maksud teks tersebut menurut Mehdi  Ha’iri Yazdi adalah sebagai berikut: “Emanasi (al-Ibda’) adalah sesuatu yang dengannya sebuah eksistensi dilahirkan dari yang lain, dan bergantung pada eksistensi lain tanpa perantaraan materi, instrument, ataupun waktu. Tetapi, suatu yang didahalui oleh noneksistensi dalam waktu tidak akan membutuhkan perantara. Tindak emanasi, karenanya, mempunyai derajat yang lebih tinggi dari tindak penciptaan dan kontingensi.”</w:t>
      </w:r>
      <w:r>
        <w:rPr>
          <w:rStyle w:val="4"/>
          <w:rFonts w:hint="default" w:ascii="Times New Roman" w:hAnsi="Times New Roman" w:cs="Times New Roman"/>
          <w:b/>
          <w:sz w:val="24"/>
          <w:szCs w:val="24"/>
        </w:rPr>
        <w:footnoteReference w:id="1"/>
      </w:r>
      <w:r>
        <w:rPr>
          <w:rFonts w:hint="default" w:ascii="Times New Roman" w:hAnsi="Times New Roman" w:cs="Times New Roman"/>
          <w:b/>
          <w:sz w:val="24"/>
          <w:szCs w:val="24"/>
        </w:rPr>
        <w:t xml:space="preserve"> </w:t>
      </w:r>
    </w:p>
    <w:p>
      <w:pPr>
        <w:pStyle w:val="6"/>
        <w:spacing w:after="0" w:line="240" w:lineRule="auto"/>
        <w:ind w:left="0"/>
        <w:jc w:val="both"/>
        <w:rPr>
          <w:rFonts w:hint="default" w:ascii="Times New Roman" w:hAnsi="Times New Roman" w:cs="Times New Roman"/>
          <w:b/>
          <w:sz w:val="24"/>
          <w:szCs w:val="24"/>
        </w:rPr>
      </w:pPr>
    </w:p>
    <w:p>
      <w:pPr>
        <w:pStyle w:val="6"/>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 xml:space="preserve"> </w:t>
      </w:r>
    </w:p>
    <w:p>
      <w:pPr>
        <w:pStyle w:val="6"/>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b/>
          <w:sz w:val="24"/>
          <w:szCs w:val="24"/>
        </w:rPr>
        <w:t>Aliran Pragmatisme</w:t>
      </w:r>
      <w:r>
        <w:rPr>
          <w:rFonts w:hint="default" w:ascii="Times New Roman" w:hAnsi="Times New Roman" w:cs="Times New Roman"/>
          <w:sz w:val="24"/>
          <w:szCs w:val="24"/>
        </w:rPr>
        <w:t xml:space="preserve">: </w:t>
      </w:r>
    </w:p>
    <w:p>
      <w:pPr>
        <w:pStyle w:val="6"/>
        <w:spacing w:after="0" w:line="240" w:lineRule="auto"/>
        <w:ind w:left="0"/>
        <w:jc w:val="both"/>
        <w:rPr>
          <w:rFonts w:hint="default" w:ascii="Times New Roman" w:hAnsi="Times New Roman" w:cs="Times New Roman"/>
          <w:sz w:val="24"/>
          <w:szCs w:val="24"/>
        </w:rPr>
      </w:pPr>
    </w:p>
    <w:p>
      <w:pPr>
        <w:pStyle w:val="6"/>
        <w:spacing w:after="0" w:line="240" w:lineRule="auto"/>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Aka-pikir kejiwaan (</w:t>
      </w:r>
      <w:r>
        <w:rPr>
          <w:rFonts w:hint="default" w:ascii="Times New Roman" w:hAnsi="Times New Roman" w:cs="Times New Roman"/>
          <w:i/>
          <w:sz w:val="24"/>
          <w:szCs w:val="24"/>
        </w:rPr>
        <w:t>mind)</w:t>
      </w:r>
      <w:r>
        <w:rPr>
          <w:rFonts w:hint="default" w:ascii="Times New Roman" w:hAnsi="Times New Roman" w:cs="Times New Roman"/>
          <w:sz w:val="24"/>
          <w:szCs w:val="24"/>
        </w:rPr>
        <w:t xml:space="preserve"> dan materi (</w:t>
      </w:r>
      <w:r>
        <w:rPr>
          <w:rFonts w:hint="default" w:ascii="Times New Roman" w:hAnsi="Times New Roman" w:cs="Times New Roman"/>
          <w:i/>
          <w:sz w:val="24"/>
          <w:szCs w:val="24"/>
        </w:rPr>
        <w:t>matter</w:t>
      </w:r>
      <w:r>
        <w:rPr>
          <w:rFonts w:hint="default" w:ascii="Times New Roman" w:hAnsi="Times New Roman" w:cs="Times New Roman"/>
          <w:sz w:val="24"/>
          <w:szCs w:val="24"/>
        </w:rPr>
        <w:t>) bukanlah dua hal terpisah dan independen. Manusia hanya mengetahui materi sebagaimana mereka mengalami dan berefleksi atas dasar pengalaman tersebut dengan akal-pikir-kejiwaan mereka.</w:t>
      </w:r>
    </w:p>
    <w:p>
      <w:pPr>
        <w:pStyle w:val="6"/>
        <w:spacing w:after="0" w:line="240" w:lineRule="auto"/>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Pelajar merupakan subjek yang memiliki pengalaman, yang mengalami, sehingga menjadikannya mampu menggunakan kecerdasannya untuk memecahkan situasi problematik. Seorang pelajar, dalam belajar sebagaimana ia bertindak terhadap lingkungannya, dirangsang bertindak oleh lingkungannya. Pengalaman sekolah adalah bagian dari hidup daripada sekedar persiapan untuk hidup. Cara seseorang belajar di sekolah tidaklah berbeda secara kualitatif dari cara ia belajar dalam aspek-aspek lain kehidupannya.</w:t>
      </w:r>
    </w:p>
    <w:p>
      <w:pPr>
        <w:pStyle w:val="6"/>
        <w:spacing w:after="0" w:line="240" w:lineRule="auto"/>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Guru bukan seorang guru dalam pengertian tradisional. Bukanlah seseorang yang mengetahui apa yang dibutuhkan subjek didik di masa depannya karenanya mempunyai fungsi menanamkan unsur esensial pengetahuan pada diri subjek didik. Tak seorang pun mengetahui apa yang dibutuhkan subjek didik karena kita hidup dalam sebuah dunia yang senantiasa berubah. </w:t>
      </w:r>
    </w:p>
    <w:p>
      <w:pPr>
        <w:pStyle w:val="6"/>
        <w:spacing w:after="0" w:line="240" w:lineRule="auto"/>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Guru adalah pendamping yang lebih berpengalaman, karenanya dipandang sebagai pemandu dan pengarah.</w:t>
      </w:r>
    </w:p>
    <w:p>
      <w:pPr>
        <w:pStyle w:val="6"/>
        <w:spacing w:after="0" w:line="240" w:lineRule="auto"/>
        <w:ind w:left="0" w:firstLine="567"/>
        <w:jc w:val="both"/>
        <w:rPr>
          <w:rFonts w:hint="default" w:ascii="Times New Roman" w:hAnsi="Times New Roman" w:cs="Times New Roman"/>
          <w:sz w:val="24"/>
          <w:szCs w:val="24"/>
        </w:rPr>
      </w:pPr>
      <w:r>
        <w:rPr>
          <w:rFonts w:hint="default" w:ascii="Times New Roman" w:hAnsi="Times New Roman" w:cs="Times New Roman"/>
          <w:sz w:val="24"/>
          <w:szCs w:val="24"/>
        </w:rPr>
        <w:t>Kurikulum tak boleh dibagi dalam bidang materi pengajaran yang membatasi dan tidak alamiah. Kurikulum perlu dibagun atas dasar unit-unit alamiah (wajar) yang tidak menimbulkan persoalan dan pengalaman yang menekan para subvjek didik. Unit-unit khusus studi bisa saja berbeda dari tiap tingk</w:t>
      </w:r>
      <w:bookmarkStart w:id="0" w:name="_GoBack"/>
      <w:bookmarkEnd w:id="0"/>
      <w:r>
        <w:rPr>
          <w:rFonts w:hint="default" w:ascii="Times New Roman" w:hAnsi="Times New Roman" w:cs="Times New Roman"/>
          <w:sz w:val="24"/>
          <w:szCs w:val="24"/>
        </w:rPr>
        <w:t>at, tapi ide utamanya ialah bahwa materi pengajaran tradisional (seni, sejarah, ilmu pasti, membaca) dapat dianyam ke dalam sebuah teknik pemecahan masalah yang menggunakan naluri keingintahuan pada subjek didik untuk mempelajari materi pengajaran tardisional seperti mereka menggeluti berbagai problem dan isu yang sangat menarik buat mereka dalam pengalaman keseharian.</w:t>
      </w:r>
      <w:r>
        <w:rPr>
          <w:rStyle w:val="4"/>
          <w:rFonts w:hint="default" w:ascii="Times New Roman" w:hAnsi="Times New Roman" w:cs="Times New Roman"/>
          <w:sz w:val="24"/>
          <w:szCs w:val="24"/>
        </w:rPr>
        <w:footnoteReference w:id="2"/>
      </w:r>
    </w:p>
    <w:p>
      <w:pPr>
        <w:pStyle w:val="6"/>
        <w:spacing w:after="0" w:line="240" w:lineRule="auto"/>
        <w:ind w:left="0" w:firstLine="567"/>
        <w:jc w:val="both"/>
        <w:rPr>
          <w:rFonts w:hint="default" w:ascii="Times New Roman" w:hAnsi="Times New Roman" w:cs="Times New Roman"/>
          <w:sz w:val="24"/>
          <w:szCs w:val="24"/>
        </w:rPr>
      </w:pPr>
    </w:p>
    <w:p>
      <w:pPr>
        <w:pStyle w:val="6"/>
        <w:spacing w:after="0" w:line="240" w:lineRule="auto"/>
        <w:ind w:left="0"/>
        <w:jc w:val="both"/>
        <w:rPr>
          <w:rFonts w:hint="default" w:ascii="Times New Roman" w:hAnsi="Times New Roman" w:cs="Times New Roman"/>
          <w:b/>
          <w:sz w:val="24"/>
          <w:szCs w:val="24"/>
        </w:rPr>
      </w:pPr>
      <w:r>
        <w:rPr>
          <w:rFonts w:hint="default" w:ascii="Times New Roman" w:hAnsi="Times New Roman" w:cs="Times New Roman"/>
          <w:b/>
          <w:sz w:val="24"/>
          <w:szCs w:val="24"/>
        </w:rPr>
        <w:t>Pandangan Pragmatis (</w:t>
      </w:r>
      <w:r>
        <w:rPr>
          <w:rFonts w:hint="default" w:ascii="Times New Roman" w:hAnsi="Times New Roman" w:cs="Times New Roman"/>
          <w:b/>
          <w:i/>
          <w:sz w:val="24"/>
          <w:szCs w:val="24"/>
        </w:rPr>
        <w:t>dzarai’iyyah</w:t>
      </w:r>
      <w:r>
        <w:rPr>
          <w:rFonts w:hint="default" w:ascii="Times New Roman" w:hAnsi="Times New Roman" w:cs="Times New Roman"/>
          <w:b/>
          <w:sz w:val="24"/>
          <w:szCs w:val="24"/>
        </w:rPr>
        <w:t>) Ibn Khaldun:</w:t>
      </w:r>
    </w:p>
    <w:p>
      <w:pPr>
        <w:pStyle w:val="6"/>
        <w:spacing w:after="0" w:line="240" w:lineRule="auto"/>
        <w:ind w:left="0"/>
        <w:jc w:val="both"/>
        <w:rPr>
          <w:rFonts w:hint="default" w:ascii="Times New Roman" w:hAnsi="Times New Roman" w:cs="Times New Roman"/>
          <w:b/>
          <w:sz w:val="24"/>
          <w:szCs w:val="24"/>
        </w:rPr>
      </w:pPr>
    </w:p>
    <w:p>
      <w:pPr>
        <w:pStyle w:val="6"/>
        <w:spacing w:after="0" w:line="240" w:lineRule="auto"/>
        <w:ind w:left="0" w:firstLine="567"/>
        <w:jc w:val="both"/>
        <w:rPr>
          <w:rFonts w:hint="default" w:ascii="Times New Roman" w:hAnsi="Times New Roman" w:cs="Times New Roman"/>
          <w:sz w:val="24"/>
          <w:szCs w:val="24"/>
          <w:lang w:val="en-US"/>
        </w:rPr>
      </w:pPr>
      <w:r>
        <w:rPr>
          <w:rFonts w:hint="default" w:ascii="Times New Roman" w:hAnsi="Times New Roman" w:cs="Times New Roman"/>
          <w:sz w:val="24"/>
          <w:szCs w:val="24"/>
        </w:rPr>
        <w:t xml:space="preserve">Manusia menurut Ibn Khaldun, memiliki kelebihan dibading makhluk lain, karena kemampuan </w:t>
      </w:r>
      <w:r>
        <w:rPr>
          <w:rFonts w:hint="default" w:ascii="Times New Roman" w:hAnsi="Times New Roman" w:cs="Times New Roman"/>
          <w:i/>
          <w:sz w:val="24"/>
          <w:szCs w:val="24"/>
        </w:rPr>
        <w:t>idrak</w:t>
      </w:r>
      <w:r>
        <w:rPr>
          <w:rFonts w:hint="default" w:ascii="Times New Roman" w:hAnsi="Times New Roman" w:cs="Times New Roman"/>
          <w:sz w:val="24"/>
          <w:szCs w:val="24"/>
        </w:rPr>
        <w:t xml:space="preserve"> (kesadaransubjek atas sesuatu di luar diri), juga memiliki akal pikiran (</w:t>
      </w:r>
      <w:r>
        <w:rPr>
          <w:rFonts w:hint="default" w:ascii="Times New Roman" w:hAnsi="Times New Roman" w:cs="Times New Roman"/>
          <w:i/>
          <w:sz w:val="24"/>
          <w:szCs w:val="24"/>
        </w:rPr>
        <w:t>al-fu’ad</w:t>
      </w:r>
      <w:r>
        <w:rPr>
          <w:rFonts w:hint="default" w:ascii="Times New Roman" w:hAnsi="Times New Roman" w:cs="Times New Roman"/>
          <w:sz w:val="24"/>
          <w:szCs w:val="24"/>
        </w:rPr>
        <w:t>) yang berpusat pada system saraf otak, sehingga mampu melakukan persepsi, abstraksi, dan imajinasi. Aktivitas berfikir ialah proses kejiwaan di balik pencerapan inderawi dan proses mondar-mandir kognitif, mengabstraksi dan mensistematisasi cerapan inderawi. Pengetahuan yang diperoleh seeorang melalui pembelajaran adalah hasil belajar bukan sekedar bakat bawaan.</w:t>
      </w:r>
      <w:r>
        <w:rPr>
          <w:rStyle w:val="4"/>
          <w:rFonts w:hint="default" w:ascii="Times New Roman" w:hAnsi="Times New Roman" w:cs="Times New Roman"/>
          <w:sz w:val="24"/>
          <w:szCs w:val="24"/>
        </w:rPr>
        <w:footnoteReference w:id="3"/>
      </w:r>
    </w:p>
    <w:p>
      <w:pPr>
        <w:jc w:val="both"/>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raditional Arabic">
    <w:altName w:val="Times New Roman"/>
    <w:panose1 w:val="02020603050405020304"/>
    <w:charset w:val="00"/>
    <w:family w:val="roman"/>
    <w:pitch w:val="default"/>
    <w:sig w:usb0="00000000" w:usb1="00000000" w:usb2="00000008" w:usb3="00000000" w:csb0="00000041" w:csb1="00000000"/>
  </w:font>
  <w:font w:name="Symbol">
    <w:panose1 w:val="05050102010706020507"/>
    <w:charset w:val="02"/>
    <w:family w:val="roman"/>
    <w:pitch w:val="default"/>
    <w:sig w:usb0="00000000" w:usb1="00000000" w:usb2="00000000" w:usb3="00000000" w:csb0="80000000" w:csb1="00000000"/>
  </w:font>
  <w:font w:name="Book Antiqua">
    <w:panose1 w:val="02040602050305030304"/>
    <w:charset w:val="00"/>
    <w:family w:val="roman"/>
    <w:pitch w:val="default"/>
    <w:sig w:usb0="00000287" w:usb1="00000000" w:usb2="00000000" w:usb3="00000000" w:csb0="2000009F" w:csb1="DFD70000"/>
  </w:font>
  <w:font w:name="times">
    <w:altName w:val="Arabic Greetings"/>
    <w:panose1 w:val="00000000000000000000"/>
    <w:charset w:val="00"/>
    <w:family w:val="auto"/>
    <w:pitch w:val="default"/>
    <w:sig w:usb0="00000000" w:usb1="00000000" w:usb2="00000000" w:usb3="00000000" w:csb0="00000000" w:csb1="00000000"/>
  </w:font>
  <w:font w:name="Arabic Greetings">
    <w:panose1 w:val="02000500000000000000"/>
    <w:charset w:val="00"/>
    <w:family w:val="auto"/>
    <w:pitch w:val="default"/>
    <w:sig w:usb0="800000A7" w:usb1="5000004A"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ind w:firstLine="284"/>
        <w:rPr>
          <w:rFonts w:ascii="Book Antiqua" w:hAnsi="Book Antiqua"/>
        </w:rPr>
      </w:pPr>
      <w:r>
        <w:rPr>
          <w:rStyle w:val="4"/>
          <w:rFonts w:ascii="Book Antiqua" w:hAnsi="Book Antiqua"/>
        </w:rPr>
        <w:footnoteRef/>
      </w:r>
      <w:r>
        <w:rPr>
          <w:rFonts w:ascii="Book Antiqua" w:hAnsi="Book Antiqua"/>
        </w:rPr>
        <w:t xml:space="preserve">). Ibn Sina, </w:t>
      </w:r>
      <w:r>
        <w:rPr>
          <w:rFonts w:ascii="Book Antiqua" w:hAnsi="Book Antiqua"/>
          <w:i/>
          <w:iCs/>
        </w:rPr>
        <w:t>Al-Isyarat wa Al-Tanbihat</w:t>
      </w:r>
      <w:r>
        <w:rPr>
          <w:rFonts w:ascii="Book Antiqua" w:hAnsi="Book Antiqua"/>
        </w:rPr>
        <w:t xml:space="preserve"> (Kairo, Daar Al-Ma’arif, 1950), p. 95-97</w:t>
      </w:r>
    </w:p>
  </w:footnote>
  <w:footnote w:id="1">
    <w:p>
      <w:pPr>
        <w:pStyle w:val="2"/>
        <w:ind w:firstLine="284"/>
        <w:rPr>
          <w:rFonts w:ascii="Book Antiqua" w:hAnsi="Book Antiqua"/>
        </w:rPr>
      </w:pPr>
      <w:r>
        <w:rPr>
          <w:rStyle w:val="4"/>
          <w:rFonts w:ascii="Book Antiqua" w:hAnsi="Book Antiqua"/>
        </w:rPr>
        <w:footnoteRef/>
      </w:r>
      <w:r>
        <w:rPr>
          <w:rFonts w:ascii="Book Antiqua" w:hAnsi="Book Antiqua"/>
        </w:rPr>
        <w:t xml:space="preserve">). Mehdi Ha’iri Yazdi, Ilmu Hudhuri: </w:t>
      </w:r>
      <w:r>
        <w:rPr>
          <w:rFonts w:ascii="Book Antiqua" w:hAnsi="Book Antiqua"/>
          <w:i/>
          <w:iCs/>
        </w:rPr>
        <w:t>Prinsip-prinsip Epistemologi dalam Filsafat Islam Dari Suhrawardi via Wittgenstein</w:t>
      </w:r>
      <w:r>
        <w:rPr>
          <w:rFonts w:ascii="Book Antiqua" w:hAnsi="Book Antiqua"/>
        </w:rPr>
        <w:t xml:space="preserve"> (Bandung, Mizan , 1994), hlm 177.</w:t>
      </w:r>
    </w:p>
  </w:footnote>
  <w:footnote w:id="2">
    <w:p>
      <w:pPr>
        <w:pStyle w:val="2"/>
        <w:ind w:firstLine="284"/>
        <w:rPr>
          <w:rFonts w:ascii="Book Antiqua" w:hAnsi="Book Antiqua"/>
        </w:rPr>
      </w:pPr>
      <w:r>
        <w:rPr>
          <w:rStyle w:val="4"/>
          <w:rFonts w:ascii="Book Antiqua" w:hAnsi="Book Antiqua"/>
        </w:rPr>
        <w:footnoteRef/>
      </w:r>
      <w:r>
        <w:rPr>
          <w:rFonts w:ascii="Book Antiqua" w:hAnsi="Book Antiqua"/>
        </w:rPr>
        <w:t xml:space="preserve">). George R. Knight, </w:t>
      </w:r>
      <w:r>
        <w:rPr>
          <w:rFonts w:ascii="Book Antiqua" w:hAnsi="Book Antiqua"/>
          <w:i/>
        </w:rPr>
        <w:t>Issues and Alternatives in Educational Philosophy</w:t>
      </w:r>
      <w:r>
        <w:rPr>
          <w:rFonts w:ascii="Book Antiqua" w:hAnsi="Book Antiqua"/>
        </w:rPr>
        <w:t xml:space="preserve"> (Filsafat Pendidikan) (Yogyakarta: Gama Media, 2007), hlm 118-121. Lihat juga George F. Kneller, Introduction to the Philosophy of Education (New York: John Wiley &amp; Sons, Inc, 1964), p. 37-38</w:t>
      </w:r>
    </w:p>
  </w:footnote>
  <w:footnote w:id="3">
    <w:p>
      <w:pPr>
        <w:pStyle w:val="2"/>
        <w:ind w:firstLine="284"/>
        <w:rPr>
          <w:rFonts w:ascii="Book Antiqua" w:hAnsi="Book Antiqua"/>
        </w:rPr>
      </w:pPr>
      <w:r>
        <w:rPr>
          <w:rStyle w:val="4"/>
          <w:rFonts w:ascii="Book Antiqua" w:hAnsi="Book Antiqua"/>
        </w:rPr>
        <w:footnoteRef/>
      </w:r>
      <w:r>
        <w:rPr>
          <w:rFonts w:ascii="Book Antiqua" w:hAnsi="Book Antiqua"/>
        </w:rPr>
        <w:t>). Muhammad Jawwad Ridla, Tiga Aliran Utama Teori Pendidikan Islam (Perspektif Sosiologis-Filosofis) (Yogyakarta: Tiara Wacana, 2002), hlm 176-177.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894"/>
    <w:multiLevelType w:val="multilevel"/>
    <w:tmpl w:val="217E0894"/>
    <w:lvl w:ilvl="0" w:tentative="0">
      <w:start w:val="1"/>
      <w:numFmt w:val="bullet"/>
      <w:lvlText w:val="۱"/>
      <w:lvlJc w:val="left"/>
      <w:pPr>
        <w:ind w:left="1438" w:hanging="360"/>
      </w:pPr>
      <w:rPr>
        <w:rFonts w:hint="default" w:ascii="Traditional Arabic" w:hAnsi="Traditional Arabic"/>
      </w:rPr>
    </w:lvl>
    <w:lvl w:ilvl="1" w:tentative="0">
      <w:start w:val="1"/>
      <w:numFmt w:val="bullet"/>
      <w:lvlText w:val="o"/>
      <w:lvlJc w:val="left"/>
      <w:pPr>
        <w:ind w:left="2158" w:hanging="360"/>
      </w:pPr>
      <w:rPr>
        <w:rFonts w:hint="default" w:ascii="Courier New" w:hAnsi="Courier New"/>
      </w:rPr>
    </w:lvl>
    <w:lvl w:ilvl="2" w:tentative="0">
      <w:start w:val="1"/>
      <w:numFmt w:val="bullet"/>
      <w:lvlText w:val=""/>
      <w:lvlJc w:val="left"/>
      <w:pPr>
        <w:ind w:left="2878" w:hanging="360"/>
      </w:pPr>
      <w:rPr>
        <w:rFonts w:hint="default" w:ascii="Wingdings" w:hAnsi="Wingdings"/>
      </w:rPr>
    </w:lvl>
    <w:lvl w:ilvl="3" w:tentative="0">
      <w:start w:val="1"/>
      <w:numFmt w:val="bullet"/>
      <w:lvlText w:val=""/>
      <w:lvlJc w:val="left"/>
      <w:pPr>
        <w:ind w:left="3598" w:hanging="360"/>
      </w:pPr>
      <w:rPr>
        <w:rFonts w:hint="default" w:ascii="Symbol" w:hAnsi="Symbol"/>
      </w:rPr>
    </w:lvl>
    <w:lvl w:ilvl="4" w:tentative="0">
      <w:start w:val="1"/>
      <w:numFmt w:val="bullet"/>
      <w:lvlText w:val="o"/>
      <w:lvlJc w:val="left"/>
      <w:pPr>
        <w:ind w:left="4318" w:hanging="360"/>
      </w:pPr>
      <w:rPr>
        <w:rFonts w:hint="default" w:ascii="Courier New" w:hAnsi="Courier New"/>
      </w:rPr>
    </w:lvl>
    <w:lvl w:ilvl="5" w:tentative="0">
      <w:start w:val="1"/>
      <w:numFmt w:val="bullet"/>
      <w:lvlText w:val=""/>
      <w:lvlJc w:val="left"/>
      <w:pPr>
        <w:ind w:left="5038" w:hanging="360"/>
      </w:pPr>
      <w:rPr>
        <w:rFonts w:hint="default" w:ascii="Wingdings" w:hAnsi="Wingdings"/>
      </w:rPr>
    </w:lvl>
    <w:lvl w:ilvl="6" w:tentative="0">
      <w:start w:val="1"/>
      <w:numFmt w:val="bullet"/>
      <w:lvlText w:val=""/>
      <w:lvlJc w:val="left"/>
      <w:pPr>
        <w:ind w:left="5758" w:hanging="360"/>
      </w:pPr>
      <w:rPr>
        <w:rFonts w:hint="default" w:ascii="Symbol" w:hAnsi="Symbol"/>
      </w:rPr>
    </w:lvl>
    <w:lvl w:ilvl="7" w:tentative="0">
      <w:start w:val="1"/>
      <w:numFmt w:val="bullet"/>
      <w:lvlText w:val="o"/>
      <w:lvlJc w:val="left"/>
      <w:pPr>
        <w:ind w:left="6478" w:hanging="360"/>
      </w:pPr>
      <w:rPr>
        <w:rFonts w:hint="default" w:ascii="Courier New" w:hAnsi="Courier New"/>
      </w:rPr>
    </w:lvl>
    <w:lvl w:ilvl="8" w:tentative="0">
      <w:start w:val="1"/>
      <w:numFmt w:val="bullet"/>
      <w:lvlText w:val=""/>
      <w:lvlJc w:val="left"/>
      <w:pPr>
        <w:ind w:left="7198" w:hanging="360"/>
      </w:pPr>
      <w:rPr>
        <w:rFonts w:hint="default" w:ascii="Wingdings" w:hAnsi="Wingdings"/>
      </w:rPr>
    </w:lvl>
  </w:abstractNum>
  <w:abstractNum w:abstractNumId="1">
    <w:nsid w:val="6CD4558F"/>
    <w:multiLevelType w:val="multilevel"/>
    <w:tmpl w:val="6CD4558F"/>
    <w:lvl w:ilvl="0" w:tentative="0">
      <w:start w:val="1"/>
      <w:numFmt w:val="bullet"/>
      <w:lvlText w:val="۲"/>
      <w:lvlJc w:val="left"/>
      <w:pPr>
        <w:ind w:left="718" w:hanging="360"/>
      </w:pPr>
      <w:rPr>
        <w:rFonts w:hint="default" w:ascii="Traditional Arabic" w:hAnsi="Traditional Arabic"/>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7EB06FEB"/>
    <w:multiLevelType w:val="multilevel"/>
    <w:tmpl w:val="7EB06FEB"/>
    <w:lvl w:ilvl="0" w:tentative="0">
      <w:start w:val="1"/>
      <w:numFmt w:val="bullet"/>
      <w:lvlText w:val="۳"/>
      <w:lvlJc w:val="left"/>
      <w:pPr>
        <w:ind w:left="718" w:hanging="360"/>
      </w:pPr>
      <w:rPr>
        <w:rFonts w:hint="default" w:ascii="Traditional Arabic" w:hAnsi="Traditional Arabic"/>
      </w:rPr>
    </w:lvl>
    <w:lvl w:ilvl="1" w:tentative="0">
      <w:start w:val="1"/>
      <w:numFmt w:val="lowerLetter"/>
      <w:lvlText w:val="%2."/>
      <w:lvlJc w:val="left"/>
      <w:pPr>
        <w:ind w:left="1438" w:hanging="360"/>
      </w:pPr>
      <w:rPr>
        <w:rFonts w:cs="Times New Roman"/>
      </w:rPr>
    </w:lvl>
    <w:lvl w:ilvl="2" w:tentative="0">
      <w:start w:val="1"/>
      <w:numFmt w:val="lowerRoman"/>
      <w:lvlText w:val="%3."/>
      <w:lvlJc w:val="right"/>
      <w:pPr>
        <w:ind w:left="2158" w:hanging="180"/>
      </w:pPr>
      <w:rPr>
        <w:rFonts w:cs="Times New Roman"/>
      </w:rPr>
    </w:lvl>
    <w:lvl w:ilvl="3" w:tentative="0">
      <w:start w:val="1"/>
      <w:numFmt w:val="decimal"/>
      <w:lvlText w:val="%4."/>
      <w:lvlJc w:val="left"/>
      <w:pPr>
        <w:ind w:left="2878" w:hanging="360"/>
      </w:pPr>
      <w:rPr>
        <w:rFonts w:cs="Times New Roman"/>
      </w:rPr>
    </w:lvl>
    <w:lvl w:ilvl="4" w:tentative="0">
      <w:start w:val="1"/>
      <w:numFmt w:val="lowerLetter"/>
      <w:lvlText w:val="%5."/>
      <w:lvlJc w:val="left"/>
      <w:pPr>
        <w:ind w:left="3598" w:hanging="360"/>
      </w:pPr>
      <w:rPr>
        <w:rFonts w:cs="Times New Roman"/>
      </w:rPr>
    </w:lvl>
    <w:lvl w:ilvl="5" w:tentative="0">
      <w:start w:val="1"/>
      <w:numFmt w:val="lowerRoman"/>
      <w:lvlText w:val="%6."/>
      <w:lvlJc w:val="right"/>
      <w:pPr>
        <w:ind w:left="4318" w:hanging="180"/>
      </w:pPr>
      <w:rPr>
        <w:rFonts w:cs="Times New Roman"/>
      </w:rPr>
    </w:lvl>
    <w:lvl w:ilvl="6" w:tentative="0">
      <w:start w:val="1"/>
      <w:numFmt w:val="decimal"/>
      <w:lvlText w:val="%7."/>
      <w:lvlJc w:val="left"/>
      <w:pPr>
        <w:ind w:left="5038" w:hanging="360"/>
      </w:pPr>
      <w:rPr>
        <w:rFonts w:cs="Times New Roman"/>
      </w:rPr>
    </w:lvl>
    <w:lvl w:ilvl="7" w:tentative="0">
      <w:start w:val="1"/>
      <w:numFmt w:val="lowerLetter"/>
      <w:lvlText w:val="%8."/>
      <w:lvlJc w:val="left"/>
      <w:pPr>
        <w:ind w:left="5758" w:hanging="360"/>
      </w:pPr>
      <w:rPr>
        <w:rFonts w:cs="Times New Roman"/>
      </w:rPr>
    </w:lvl>
    <w:lvl w:ilvl="8" w:tentative="0">
      <w:start w:val="1"/>
      <w:numFmt w:val="lowerRoman"/>
      <w:lvlText w:val="%9."/>
      <w:lvlJc w:val="right"/>
      <w:pPr>
        <w:ind w:left="6478"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D778D"/>
    <w:rsid w:val="242D77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Calibri" w:cs="Times New Roman"/>
      <w:sz w:val="22"/>
      <w:szCs w:val="22"/>
      <w:lang w:val="en-US" w:eastAsia="en-US"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rPr>
      <w:sz w:val="20"/>
      <w:szCs w:val="20"/>
    </w:rPr>
  </w:style>
  <w:style w:type="character" w:styleId="4">
    <w:name w:val="footnote reference"/>
    <w:basedOn w:val="3"/>
    <w:uiPriority w:val="0"/>
    <w:rPr>
      <w:vertAlign w:val="superscript"/>
    </w:rPr>
  </w:style>
  <w:style w:type="paragraph" w:customStyle="1" w:styleId="6">
    <w:name w:val="List Paragraph"/>
    <w:basedOn w:val="1"/>
    <w:qFormat/>
    <w:uiPriority w:val="34"/>
    <w:pPr>
      <w:spacing w:after="200" w:line="276" w:lineRule="auto"/>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2017-06-13T07:36:00Z</dcterms:created>
  <dc:creator>Staff IT</dc:creator>
  <cp:lastModifiedBy>Staff IT</cp:lastModifiedBy>
  <dcterms:modified xsi:type="dcterms:W3CDTF">2017-06-13T07:36:54Z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